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0A1B5CC" w:rsidR="00BA507B" w:rsidRPr="00A94B5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B40777">
        <w:rPr>
          <w:rFonts w:ascii="Times New Roman" w:hAnsi="Times New Roman" w:cs="Times New Roman"/>
          <w:sz w:val="24"/>
          <w:szCs w:val="24"/>
        </w:rPr>
        <w:t>Ian Groetsch</w:t>
      </w:r>
      <w:r w:rsidRPr="00A94B55">
        <w:rPr>
          <w:rFonts w:ascii="Times New Roman" w:eastAsia="Times New Roman" w:hAnsi="Times New Roman" w:cs="Times New Roman"/>
          <w:sz w:val="24"/>
          <w:szCs w:val="24"/>
        </w:rPr>
        <w:t xml:space="preserve">, </w:t>
      </w:r>
      <w:r w:rsidR="00F4295C" w:rsidRPr="00A94B55">
        <w:rPr>
          <w:rFonts w:ascii="Times New Roman" w:eastAsia="Times New Roman" w:hAnsi="Times New Roman" w:cs="Baskerville Old Face"/>
          <w:sz w:val="24"/>
          <w:szCs w:val="24"/>
        </w:rPr>
        <w:t>Attorney</w:t>
      </w:r>
    </w:p>
    <w:p w14:paraId="43DBA660" w14:textId="4A221A7B" w:rsidR="00BA507B" w:rsidRPr="00A94B55" w:rsidRDefault="00F4295C" w:rsidP="00BA507B">
      <w:pPr>
        <w:ind w:left="720" w:firstLine="720"/>
        <w:jc w:val="both"/>
        <w:rPr>
          <w:rFonts w:ascii="Times New Roman" w:hAnsi="Times New Roman" w:cs="Times New Roman"/>
          <w:sz w:val="24"/>
          <w:szCs w:val="24"/>
        </w:rPr>
      </w:pPr>
      <w:r w:rsidRPr="00A94B55">
        <w:rPr>
          <w:rFonts w:ascii="Times New Roman" w:eastAsia="Times New Roman" w:hAnsi="Times New Roman" w:cs="Times New Roman"/>
          <w:sz w:val="24"/>
          <w:szCs w:val="24"/>
        </w:rPr>
        <w:t xml:space="preserve">Legal </w:t>
      </w:r>
      <w:r w:rsidR="00BA507B" w:rsidRPr="00A94B55">
        <w:rPr>
          <w:rFonts w:ascii="Times New Roman" w:eastAsia="Times New Roman" w:hAnsi="Times New Roman" w:cs="Times New Roman"/>
          <w:sz w:val="24"/>
          <w:szCs w:val="24"/>
        </w:rPr>
        <w:t>Division</w:t>
      </w:r>
    </w:p>
    <w:p w14:paraId="5C8A7F79" w14:textId="77777777" w:rsidR="00BA507B" w:rsidRPr="00A94B55" w:rsidRDefault="00BA507B" w:rsidP="00BA507B">
      <w:pPr>
        <w:tabs>
          <w:tab w:val="left" w:pos="1440"/>
        </w:tabs>
        <w:jc w:val="both"/>
        <w:rPr>
          <w:rFonts w:ascii="Times New Roman" w:hAnsi="Times New Roman" w:cs="Times New Roman"/>
          <w:sz w:val="24"/>
          <w:szCs w:val="24"/>
        </w:rPr>
      </w:pPr>
    </w:p>
    <w:p w14:paraId="4849338D" w14:textId="3B31692C" w:rsidR="00BA507B" w:rsidRPr="00F4295C" w:rsidRDefault="00BA507B" w:rsidP="00BA507B">
      <w:pPr>
        <w:jc w:val="both"/>
        <w:rPr>
          <w:rFonts w:ascii="Times New Roman" w:eastAsia="Times New Roman" w:hAnsi="Times New Roman" w:cs="Baskerville Old Face"/>
          <w:b/>
          <w:bCs/>
          <w:sz w:val="24"/>
          <w:szCs w:val="24"/>
        </w:rPr>
      </w:pPr>
      <w:r w:rsidRPr="00A94B55">
        <w:rPr>
          <w:rFonts w:ascii="Times New Roman" w:hAnsi="Times New Roman" w:cs="Times New Roman"/>
          <w:b/>
          <w:sz w:val="24"/>
          <w:szCs w:val="24"/>
        </w:rPr>
        <w:t>FROM:</w:t>
      </w:r>
      <w:r w:rsidRPr="00A94B55">
        <w:rPr>
          <w:rFonts w:ascii="Times New Roman" w:hAnsi="Times New Roman" w:cs="Times New Roman"/>
          <w:b/>
          <w:sz w:val="24"/>
          <w:szCs w:val="24"/>
        </w:rPr>
        <w:tab/>
      </w:r>
      <w:r w:rsidR="00F4295C" w:rsidRPr="00A94B55">
        <w:rPr>
          <w:rFonts w:ascii="Times New Roman" w:hAnsi="Times New Roman" w:cs="Times New Roman"/>
          <w:bCs/>
          <w:sz w:val="24"/>
          <w:szCs w:val="24"/>
        </w:rPr>
        <w:t>Fred Bednarski III</w:t>
      </w:r>
      <w:r w:rsidRPr="00A94B55">
        <w:rPr>
          <w:rFonts w:ascii="Times New Roman" w:eastAsia="Times New Roman" w:hAnsi="Times New Roman" w:cs="Baskerville Old Face"/>
          <w:bCs/>
          <w:sz w:val="24"/>
          <w:szCs w:val="24"/>
        </w:rPr>
        <w:t>,</w:t>
      </w:r>
      <w:r w:rsidRPr="00A94B55">
        <w:rPr>
          <w:rFonts w:ascii="Times New Roman" w:eastAsia="Times New Roman" w:hAnsi="Times New Roman" w:cs="Baskerville Old Face"/>
          <w:sz w:val="24"/>
          <w:szCs w:val="24"/>
        </w:rPr>
        <w:t xml:space="preserve"> </w:t>
      </w:r>
      <w:bookmarkStart w:id="1" w:name="_Hlk61339093"/>
      <w:r w:rsidRPr="00A94B55">
        <w:rPr>
          <w:rFonts w:ascii="Times New Roman" w:eastAsia="Times New Roman" w:hAnsi="Times New Roman" w:cs="Baskerville Old Face"/>
          <w:sz w:val="24"/>
          <w:szCs w:val="24"/>
        </w:rPr>
        <w:t xml:space="preserve">Financial </w:t>
      </w:r>
      <w:r w:rsidRPr="00F4295C">
        <w:rPr>
          <w:rFonts w:ascii="Times New Roman" w:eastAsia="Times New Roman" w:hAnsi="Times New Roman" w:cs="Baskerville Old Face"/>
          <w:sz w:val="24"/>
          <w:szCs w:val="24"/>
        </w:rPr>
        <w:t>Analyst</w:t>
      </w:r>
    </w:p>
    <w:bookmarkEnd w:id="1"/>
    <w:p w14:paraId="3B4B85F5" w14:textId="77777777" w:rsidR="00BA507B" w:rsidRPr="00F4295C" w:rsidRDefault="00BA507B" w:rsidP="00BA507B">
      <w:pPr>
        <w:ind w:left="1440"/>
        <w:jc w:val="both"/>
        <w:rPr>
          <w:rFonts w:ascii="Times New Roman" w:eastAsia="Times New Roman" w:hAnsi="Times New Roman" w:cs="Times New Roman"/>
          <w:sz w:val="24"/>
          <w:szCs w:val="24"/>
        </w:rPr>
      </w:pPr>
      <w:r w:rsidRPr="00F4295C">
        <w:rPr>
          <w:rFonts w:ascii="Times New Roman" w:eastAsia="Times New Roman" w:hAnsi="Times New Roman" w:cs="Times New Roman"/>
          <w:sz w:val="24"/>
          <w:szCs w:val="24"/>
        </w:rPr>
        <w:t>Rate Regulation Division</w:t>
      </w:r>
    </w:p>
    <w:p w14:paraId="5B5EEAC2" w14:textId="77777777" w:rsidR="00BA507B" w:rsidRPr="00F4295C" w:rsidRDefault="00BA507B" w:rsidP="00BA507B">
      <w:pPr>
        <w:tabs>
          <w:tab w:val="left" w:pos="1170"/>
        </w:tabs>
        <w:jc w:val="both"/>
        <w:outlineLvl w:val="0"/>
        <w:rPr>
          <w:rFonts w:ascii="Times New Roman" w:hAnsi="Times New Roman" w:cs="Times New Roman"/>
          <w:sz w:val="24"/>
          <w:szCs w:val="24"/>
        </w:rPr>
      </w:pPr>
    </w:p>
    <w:p w14:paraId="6360FDC0" w14:textId="240C9ACC" w:rsidR="00BA507B" w:rsidRPr="00F4295C" w:rsidRDefault="00BA507B" w:rsidP="00BA507B">
      <w:pPr>
        <w:tabs>
          <w:tab w:val="left" w:pos="1170"/>
        </w:tabs>
        <w:jc w:val="both"/>
        <w:rPr>
          <w:rFonts w:ascii="Times New Roman" w:hAnsi="Times New Roman" w:cs="Times New Roman"/>
          <w:bCs/>
          <w:sz w:val="24"/>
          <w:szCs w:val="24"/>
        </w:rPr>
      </w:pPr>
      <w:r w:rsidRPr="00F4295C">
        <w:rPr>
          <w:rFonts w:ascii="Times New Roman" w:hAnsi="Times New Roman" w:cs="Times New Roman"/>
          <w:b/>
          <w:sz w:val="24"/>
          <w:szCs w:val="24"/>
        </w:rPr>
        <w:t>DATE:</w:t>
      </w:r>
      <w:r w:rsidRPr="00F4295C">
        <w:rPr>
          <w:rFonts w:ascii="Times New Roman" w:hAnsi="Times New Roman" w:cs="Times New Roman"/>
          <w:b/>
          <w:sz w:val="24"/>
          <w:szCs w:val="24"/>
        </w:rPr>
        <w:tab/>
      </w:r>
      <w:r w:rsidRPr="00F4295C">
        <w:rPr>
          <w:rFonts w:ascii="Times New Roman" w:hAnsi="Times New Roman" w:cs="Times New Roman"/>
          <w:b/>
          <w:sz w:val="24"/>
          <w:szCs w:val="24"/>
        </w:rPr>
        <w:tab/>
      </w:r>
      <w:r w:rsidR="00E9493C">
        <w:rPr>
          <w:rFonts w:ascii="Times New Roman" w:hAnsi="Times New Roman" w:cs="Times New Roman"/>
          <w:bCs/>
          <w:sz w:val="24"/>
          <w:szCs w:val="24"/>
        </w:rPr>
        <w:t>February</w:t>
      </w:r>
      <w:r w:rsidR="00F4295C">
        <w:rPr>
          <w:rFonts w:ascii="Times New Roman" w:hAnsi="Times New Roman" w:cs="Times New Roman"/>
          <w:bCs/>
          <w:sz w:val="24"/>
          <w:szCs w:val="24"/>
        </w:rPr>
        <w:t xml:space="preserve"> </w:t>
      </w:r>
      <w:r w:rsidR="006213F7">
        <w:rPr>
          <w:rFonts w:ascii="Times New Roman" w:hAnsi="Times New Roman" w:cs="Times New Roman"/>
          <w:bCs/>
          <w:sz w:val="24"/>
          <w:szCs w:val="24"/>
        </w:rPr>
        <w:t>1</w:t>
      </w:r>
      <w:r w:rsidR="00E9493C">
        <w:rPr>
          <w:rFonts w:ascii="Times New Roman" w:hAnsi="Times New Roman" w:cs="Times New Roman"/>
          <w:bCs/>
          <w:sz w:val="24"/>
          <w:szCs w:val="24"/>
        </w:rPr>
        <w:t>4</w:t>
      </w:r>
      <w:r w:rsidR="00F4295C">
        <w:rPr>
          <w:rFonts w:ascii="Times New Roman" w:hAnsi="Times New Roman" w:cs="Times New Roman"/>
          <w:bCs/>
          <w:sz w:val="24"/>
          <w:szCs w:val="24"/>
        </w:rPr>
        <w:t>, 202</w:t>
      </w:r>
      <w:r w:rsidR="00AB4664">
        <w:rPr>
          <w:rFonts w:ascii="Times New Roman" w:hAnsi="Times New Roman" w:cs="Times New Roman"/>
          <w:bCs/>
          <w:sz w:val="24"/>
          <w:szCs w:val="24"/>
        </w:rPr>
        <w:t>2</w:t>
      </w:r>
    </w:p>
    <w:p w14:paraId="1AF39076" w14:textId="77777777" w:rsidR="00BA507B" w:rsidRPr="00F4295C" w:rsidRDefault="00BA507B" w:rsidP="00BA507B">
      <w:pPr>
        <w:tabs>
          <w:tab w:val="left" w:pos="1170"/>
        </w:tabs>
        <w:jc w:val="both"/>
        <w:rPr>
          <w:rFonts w:ascii="Times New Roman" w:hAnsi="Times New Roman" w:cs="Times New Roman"/>
          <w:sz w:val="24"/>
          <w:szCs w:val="24"/>
        </w:rPr>
      </w:pPr>
    </w:p>
    <w:p w14:paraId="0CF9ACF4" w14:textId="429B5C30" w:rsidR="00BA507B" w:rsidRPr="00F4295C" w:rsidRDefault="00BA507B" w:rsidP="00BA507B">
      <w:pPr>
        <w:pBdr>
          <w:bottom w:val="single" w:sz="4" w:space="1" w:color="auto"/>
        </w:pBdr>
        <w:ind w:left="1440" w:hanging="1440"/>
        <w:jc w:val="both"/>
        <w:rPr>
          <w:rFonts w:ascii="Times New Roman" w:hAnsi="Times New Roman" w:cs="Times New Roman"/>
          <w:b/>
          <w:bCs/>
          <w:sz w:val="24"/>
          <w:szCs w:val="24"/>
        </w:rPr>
      </w:pPr>
      <w:r w:rsidRPr="00F4295C">
        <w:rPr>
          <w:rFonts w:ascii="Times New Roman" w:hAnsi="Times New Roman" w:cs="Times New Roman"/>
          <w:b/>
          <w:sz w:val="24"/>
          <w:szCs w:val="24"/>
        </w:rPr>
        <w:t>RE:</w:t>
      </w:r>
      <w:r w:rsidRPr="00F4295C">
        <w:rPr>
          <w:rFonts w:ascii="Times New Roman" w:hAnsi="Times New Roman" w:cs="Times New Roman"/>
          <w:b/>
          <w:sz w:val="24"/>
          <w:szCs w:val="24"/>
        </w:rPr>
        <w:tab/>
      </w:r>
      <w:r w:rsidRPr="00F4295C">
        <w:rPr>
          <w:rFonts w:ascii="Times New Roman" w:eastAsia="Times New Roman" w:hAnsi="Times New Roman" w:cs="Times New Roman"/>
          <w:bCs/>
          <w:sz w:val="24"/>
          <w:szCs w:val="24"/>
        </w:rPr>
        <w:t xml:space="preserve">Docket No. </w:t>
      </w:r>
      <w:r w:rsidR="00B1386D" w:rsidRPr="00F4295C">
        <w:rPr>
          <w:rFonts w:ascii="Times New Roman" w:eastAsia="Times New Roman" w:hAnsi="Times New Roman" w:cs="Times New Roman"/>
          <w:bCs/>
          <w:sz w:val="24"/>
          <w:szCs w:val="24"/>
        </w:rPr>
        <w:t>5</w:t>
      </w:r>
      <w:r w:rsidR="00AB4664">
        <w:rPr>
          <w:rFonts w:ascii="Times New Roman" w:eastAsia="Times New Roman" w:hAnsi="Times New Roman" w:cs="Times New Roman"/>
          <w:bCs/>
          <w:sz w:val="24"/>
          <w:szCs w:val="24"/>
        </w:rPr>
        <w:t>2</w:t>
      </w:r>
      <w:r w:rsidR="00AC64B1">
        <w:rPr>
          <w:rFonts w:ascii="Times New Roman" w:eastAsia="Times New Roman" w:hAnsi="Times New Roman" w:cs="Times New Roman"/>
          <w:bCs/>
          <w:sz w:val="24"/>
          <w:szCs w:val="24"/>
        </w:rPr>
        <w:t>803</w:t>
      </w:r>
      <w:r w:rsidRPr="00F4295C">
        <w:rPr>
          <w:sz w:val="24"/>
          <w:szCs w:val="24"/>
        </w:rPr>
        <w:t xml:space="preserve"> </w:t>
      </w:r>
      <w:r w:rsidR="00FC678B">
        <w:rPr>
          <w:sz w:val="24"/>
          <w:szCs w:val="24"/>
        </w:rPr>
        <w:t>–</w:t>
      </w:r>
      <w:r w:rsidRPr="00F4295C">
        <w:rPr>
          <w:sz w:val="24"/>
          <w:szCs w:val="24"/>
        </w:rPr>
        <w:t xml:space="preserve"> </w:t>
      </w:r>
      <w:r w:rsidR="00AC64B1" w:rsidRPr="00AC64B1">
        <w:rPr>
          <w:rFonts w:ascii="Times New Roman" w:eastAsia="Times New Roman" w:hAnsi="Times New Roman" w:cs="Times New Roman"/>
          <w:i/>
          <w:sz w:val="24"/>
          <w:szCs w:val="24"/>
        </w:rPr>
        <w:t xml:space="preserve">Application of </w:t>
      </w:r>
      <w:proofErr w:type="spellStart"/>
      <w:r w:rsidR="00AC64B1" w:rsidRPr="00AC64B1">
        <w:rPr>
          <w:rFonts w:ascii="Times New Roman" w:eastAsia="Times New Roman" w:hAnsi="Times New Roman" w:cs="Times New Roman"/>
          <w:i/>
          <w:sz w:val="24"/>
          <w:szCs w:val="24"/>
        </w:rPr>
        <w:t>Copano</w:t>
      </w:r>
      <w:proofErr w:type="spellEnd"/>
      <w:r w:rsidR="00AC64B1" w:rsidRPr="00AC64B1">
        <w:rPr>
          <w:rFonts w:ascii="Times New Roman" w:eastAsia="Times New Roman" w:hAnsi="Times New Roman" w:cs="Times New Roman"/>
          <w:i/>
          <w:sz w:val="24"/>
          <w:szCs w:val="24"/>
        </w:rPr>
        <w:t xml:space="preserve"> Cove Water Company, Inc. and CSWR-Texas Utility Operating Company, LLC for Sale, Transfer, or Merger of Facilities and Certificate Rights in Aransas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D61F732" w14:textId="77777777" w:rsidR="00A32039" w:rsidRDefault="00A32039">
      <w:pPr>
        <w:pStyle w:val="BodyText"/>
        <w:spacing w:after="0"/>
        <w:jc w:val="both"/>
        <w:rPr>
          <w:rFonts w:ascii="Calibri" w:hAnsi="Calibri" w:cs="Calibri"/>
          <w:b/>
          <w:bCs/>
        </w:rPr>
      </w:pPr>
    </w:p>
    <w:p w14:paraId="36306882" w14:textId="65772354" w:rsidR="00337428" w:rsidRPr="00630EEB" w:rsidRDefault="00A32039">
      <w:pPr>
        <w:pStyle w:val="BodyText"/>
        <w:spacing w:after="0"/>
        <w:jc w:val="both"/>
        <w:rPr>
          <w:rFonts w:ascii="Times New Roman" w:hAnsi="Times New Roman" w:cs="Times New Roman"/>
        </w:rPr>
      </w:pPr>
      <w:r w:rsidRPr="00A32039">
        <w:rPr>
          <w:rFonts w:ascii="Times New Roman" w:hAnsi="Times New Roman" w:cs="Times New Roman"/>
        </w:rPr>
        <w:t xml:space="preserve">On </w:t>
      </w:r>
      <w:r w:rsidR="004D152B">
        <w:rPr>
          <w:rFonts w:ascii="Times New Roman" w:hAnsi="Times New Roman" w:cs="Times New Roman"/>
        </w:rPr>
        <w:t>November</w:t>
      </w:r>
      <w:r w:rsidRPr="00A32039">
        <w:rPr>
          <w:rFonts w:ascii="Times New Roman" w:hAnsi="Times New Roman" w:cs="Times New Roman"/>
        </w:rPr>
        <w:t xml:space="preserve"> </w:t>
      </w:r>
      <w:r w:rsidR="004D152B">
        <w:rPr>
          <w:rFonts w:ascii="Times New Roman" w:hAnsi="Times New Roman" w:cs="Times New Roman"/>
        </w:rPr>
        <w:t>9</w:t>
      </w:r>
      <w:r w:rsidRPr="00A32039">
        <w:rPr>
          <w:rFonts w:ascii="Times New Roman" w:hAnsi="Times New Roman" w:cs="Times New Roman"/>
        </w:rPr>
        <w:t>, 2021,</w:t>
      </w:r>
      <w:r w:rsidR="00E862F9">
        <w:rPr>
          <w:rFonts w:ascii="Times New Roman" w:hAnsi="Times New Roman" w:cs="Times New Roman"/>
        </w:rPr>
        <w:t xml:space="preserve"> </w:t>
      </w:r>
      <w:proofErr w:type="spellStart"/>
      <w:r w:rsidR="00E862F9" w:rsidRPr="00E862F9">
        <w:rPr>
          <w:rFonts w:ascii="Times New Roman" w:hAnsi="Times New Roman" w:cs="Times New Roman"/>
        </w:rPr>
        <w:t>Copano</w:t>
      </w:r>
      <w:proofErr w:type="spellEnd"/>
      <w:r w:rsidR="00E862F9" w:rsidRPr="00E862F9">
        <w:rPr>
          <w:rFonts w:ascii="Times New Roman" w:hAnsi="Times New Roman" w:cs="Times New Roman"/>
        </w:rPr>
        <w:t xml:space="preserve"> Cove Water Company, Inc. (</w:t>
      </w:r>
      <w:proofErr w:type="spellStart"/>
      <w:r w:rsidR="00E862F9" w:rsidRPr="00E862F9">
        <w:rPr>
          <w:rFonts w:ascii="Times New Roman" w:hAnsi="Times New Roman" w:cs="Times New Roman"/>
        </w:rPr>
        <w:t>Copano</w:t>
      </w:r>
      <w:proofErr w:type="spellEnd"/>
      <w:r w:rsidR="00E862F9" w:rsidRPr="00E862F9">
        <w:rPr>
          <w:rFonts w:ascii="Times New Roman" w:hAnsi="Times New Roman" w:cs="Times New Roman"/>
        </w:rPr>
        <w:t xml:space="preserve"> Cove) </w:t>
      </w:r>
      <w:r w:rsidR="00E862F9">
        <w:rPr>
          <w:rFonts w:ascii="Times New Roman" w:hAnsi="Times New Roman" w:cs="Times New Roman"/>
        </w:rPr>
        <w:t xml:space="preserve">and </w:t>
      </w:r>
      <w:r w:rsidRPr="00A32039">
        <w:rPr>
          <w:rFonts w:ascii="Times New Roman" w:hAnsi="Times New Roman" w:cs="Times New Roman"/>
        </w:rPr>
        <w:t>CSWR-Texas Utility Operating Company, LLC</w:t>
      </w:r>
      <w:r w:rsidR="00544D2C">
        <w:rPr>
          <w:rFonts w:ascii="Times New Roman" w:hAnsi="Times New Roman" w:cs="Times New Roman"/>
        </w:rPr>
        <w:t xml:space="preserve"> (</w:t>
      </w:r>
      <w:bookmarkStart w:id="2" w:name="_Hlk89409472"/>
      <w:r w:rsidR="00544D2C">
        <w:rPr>
          <w:rFonts w:ascii="Times New Roman" w:hAnsi="Times New Roman" w:cs="Times New Roman"/>
        </w:rPr>
        <w:t>CSWR-Texas</w:t>
      </w:r>
      <w:bookmarkEnd w:id="2"/>
      <w:r w:rsidR="00544D2C">
        <w:rPr>
          <w:rFonts w:ascii="Times New Roman" w:hAnsi="Times New Roman" w:cs="Times New Roman"/>
        </w:rPr>
        <w:t>)</w:t>
      </w:r>
      <w:r w:rsidRPr="00A32039">
        <w:rPr>
          <w:rFonts w:ascii="Times New Roman" w:hAnsi="Times New Roman" w:cs="Times New Roman"/>
        </w:rPr>
        <w:t xml:space="preserve"> filed an application for the sale and transfer of facilities and certificate rights in </w:t>
      </w:r>
      <w:r w:rsidR="00E862F9">
        <w:rPr>
          <w:rFonts w:ascii="Times New Roman" w:hAnsi="Times New Roman" w:cs="Times New Roman"/>
        </w:rPr>
        <w:t>Aransas</w:t>
      </w:r>
      <w:r w:rsidR="004C6E72">
        <w:rPr>
          <w:rFonts w:ascii="Times New Roman" w:hAnsi="Times New Roman" w:cs="Times New Roman"/>
        </w:rPr>
        <w:t xml:space="preserve"> </w:t>
      </w:r>
      <w:r w:rsidRPr="00A32039">
        <w:rPr>
          <w:rFonts w:ascii="Times New Roman" w:hAnsi="Times New Roman" w:cs="Times New Roman"/>
        </w:rPr>
        <w:t>Count</w:t>
      </w:r>
      <w:r w:rsidR="00E862F9">
        <w:rPr>
          <w:rFonts w:ascii="Times New Roman" w:hAnsi="Times New Roman" w:cs="Times New Roman"/>
        </w:rPr>
        <w:t>y</w:t>
      </w:r>
      <w:r w:rsidR="00FC678B">
        <w:rPr>
          <w:rFonts w:ascii="Times New Roman" w:hAnsi="Times New Roman" w:cs="Times New Roman"/>
        </w:rPr>
        <w:t>.</w:t>
      </w:r>
    </w:p>
    <w:p w14:paraId="52AE97F9" w14:textId="77777777" w:rsidR="00A32039" w:rsidRDefault="00A32039">
      <w:pPr>
        <w:pStyle w:val="BodyText"/>
        <w:spacing w:after="0"/>
        <w:jc w:val="both"/>
        <w:rPr>
          <w:rFonts w:ascii="Times New Roman" w:hAnsi="Times New Roman" w:cs="Times New Roman"/>
        </w:rPr>
      </w:pPr>
    </w:p>
    <w:p w14:paraId="242A3BDB" w14:textId="16A9484C" w:rsidR="00073089" w:rsidRDefault="00544D2C">
      <w:pPr>
        <w:pStyle w:val="BodyText"/>
        <w:spacing w:after="0"/>
        <w:jc w:val="both"/>
        <w:rPr>
          <w:rFonts w:ascii="Times New Roman" w:hAnsi="Times New Roman" w:cs="Times New Roman"/>
        </w:rPr>
      </w:pPr>
      <w:r w:rsidRPr="00544D2C">
        <w:rPr>
          <w:rFonts w:ascii="Times New Roman" w:hAnsi="Times New Roman" w:cs="Times New Roman"/>
        </w:rPr>
        <w:t>I recommend that CSWR-Texas demonstrates the financial and managerial capability needed to provide continuous and adequate service to the areas subject to this application and other recently approved or pending applications.  My conclusions are based on information provided by CSWR-Texas before the date of this memorandum and may not reflect any changes in the CSWR-Texas’s status after this review.</w:t>
      </w:r>
    </w:p>
    <w:p w14:paraId="77474AC5" w14:textId="77777777" w:rsidR="00544D2C" w:rsidRPr="00630EEB" w:rsidRDefault="00544D2C">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411B966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544D2C">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3875653F" w14:textId="3D286215" w:rsidR="00415781" w:rsidRDefault="00415781" w:rsidP="00415781">
      <w:pPr>
        <w:pStyle w:val="BodyText"/>
        <w:spacing w:after="0"/>
        <w:jc w:val="both"/>
        <w:rPr>
          <w:rFonts w:ascii="Times New Roman" w:eastAsia="Calibri" w:hAnsi="Times New Roman" w:cs="Times New Roman"/>
        </w:rPr>
      </w:pPr>
      <w:r w:rsidRPr="00415781">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51478C94" w14:textId="77777777" w:rsidR="00415781" w:rsidRPr="00415781" w:rsidRDefault="00415781" w:rsidP="00415781">
      <w:pPr>
        <w:pStyle w:val="BodyText"/>
        <w:spacing w:after="0"/>
        <w:jc w:val="both"/>
        <w:rPr>
          <w:rFonts w:ascii="Times New Roman" w:eastAsia="Calibri" w:hAnsi="Times New Roman" w:cs="Times New Roman"/>
        </w:rPr>
      </w:pPr>
    </w:p>
    <w:p w14:paraId="5694789A" w14:textId="1B57079E" w:rsidR="00680FB0" w:rsidRPr="009A0254" w:rsidRDefault="00415781" w:rsidP="00415781">
      <w:pPr>
        <w:pStyle w:val="BodyText"/>
        <w:spacing w:after="0"/>
        <w:jc w:val="both"/>
        <w:rPr>
          <w:rFonts w:ascii="Times New Roman" w:hAnsi="Times New Roman" w:cs="Times New Roman"/>
        </w:rPr>
      </w:pPr>
      <w:r w:rsidRPr="00415781">
        <w:rPr>
          <w:rFonts w:ascii="Times New Roman" w:eastAsia="Calibri" w:hAnsi="Times New Roman" w:cs="Times New Roman"/>
        </w:rPr>
        <w:t xml:space="preserve">CSWR’s financial statements, provided in confidential Attachment FB-1, report a debt-to-equity ratio of 0.16.  Because the ratio is less than 1.0, CSWR meets the test specified in 16 TAC § 24.11(e)(2)(A).  CSWR is also capable, available, and willing to cover temporary cash shortages.  Therefore, through its affiliate, CSWR-Texas meets the leverage test specified in 16 TAC § 24.11(e)(2)(E).  </w:t>
      </w: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01E2CA4B" w14:textId="77777777" w:rsidR="00415781" w:rsidRPr="00415781" w:rsidRDefault="00415781" w:rsidP="00415781">
      <w:pPr>
        <w:jc w:val="both"/>
        <w:rPr>
          <w:rFonts w:ascii="Times New Roman" w:eastAsia="Calibri" w:hAnsi="Times New Roman" w:cs="Times New Roman"/>
          <w:sz w:val="24"/>
          <w:szCs w:val="24"/>
        </w:rPr>
      </w:pPr>
      <w:r w:rsidRPr="00415781">
        <w:rPr>
          <w:rFonts w:ascii="Times New Roman" w:eastAsia="Calibri" w:hAnsi="Times New Roman" w:cs="Times New Roman"/>
          <w:sz w:val="24"/>
          <w:szCs w:val="24"/>
        </w:rPr>
        <w:t xml:space="preserve">An owner or operator must demonstrate sufficient available cash to cover projected cash shortages for operations and maintenance expense during the first five years of operations, as required by 16 TAC § 24.11(e)(3). </w:t>
      </w:r>
    </w:p>
    <w:p w14:paraId="74775AF6" w14:textId="77777777" w:rsidR="00415781" w:rsidRPr="00415781" w:rsidRDefault="00415781" w:rsidP="00415781">
      <w:pPr>
        <w:jc w:val="both"/>
        <w:rPr>
          <w:rFonts w:ascii="Times New Roman" w:eastAsia="Calibri" w:hAnsi="Times New Roman" w:cs="Times New Roman"/>
          <w:sz w:val="24"/>
          <w:szCs w:val="24"/>
        </w:rPr>
      </w:pPr>
    </w:p>
    <w:p w14:paraId="591128CF" w14:textId="6F47A688" w:rsidR="00B137BB" w:rsidRPr="00630EEB" w:rsidRDefault="00F7425D" w:rsidP="00415781">
      <w:pPr>
        <w:jc w:val="both"/>
        <w:rPr>
          <w:rFonts w:ascii="Times New Roman" w:eastAsia="Calibri" w:hAnsi="Times New Roman" w:cs="Times New Roman"/>
          <w:sz w:val="24"/>
          <w:szCs w:val="24"/>
        </w:rPr>
      </w:pPr>
      <w:r w:rsidRPr="00F7425D">
        <w:rPr>
          <w:rFonts w:ascii="Times New Roman" w:eastAsia="Calibri" w:hAnsi="Times New Roman" w:cs="Times New Roman"/>
          <w:sz w:val="24"/>
          <w:szCs w:val="24"/>
        </w:rPr>
        <w:t xml:space="preserve">CSWR-Texas’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  </w:t>
      </w:r>
      <w:r w:rsidR="00415781" w:rsidRPr="00415781">
        <w:rPr>
          <w:rFonts w:ascii="Times New Roman" w:eastAsia="Calibri" w:hAnsi="Times New Roman" w:cs="Times New Roman"/>
          <w:sz w:val="24"/>
          <w:szCs w:val="24"/>
        </w:rPr>
        <w:t xml:space="preserve">  Additionally, CSWR-Texas provided an affidavit indicating CWSR’s commitment to providing funds necessary for cash required to purchase </w:t>
      </w:r>
      <w:proofErr w:type="spellStart"/>
      <w:r w:rsidR="006213F7">
        <w:rPr>
          <w:rFonts w:ascii="Times New Roman" w:eastAsia="Calibri" w:hAnsi="Times New Roman" w:cs="Times New Roman"/>
          <w:sz w:val="24"/>
          <w:szCs w:val="24"/>
        </w:rPr>
        <w:t>Copano</w:t>
      </w:r>
      <w:proofErr w:type="spellEnd"/>
      <w:r w:rsidR="006213F7">
        <w:rPr>
          <w:rFonts w:ascii="Times New Roman" w:eastAsia="Calibri" w:hAnsi="Times New Roman" w:cs="Times New Roman"/>
          <w:sz w:val="24"/>
          <w:szCs w:val="24"/>
        </w:rPr>
        <w:t xml:space="preserve"> Cove</w:t>
      </w:r>
      <w:r w:rsidR="00107998">
        <w:rPr>
          <w:rFonts w:ascii="Times New Roman" w:eastAsia="Calibri" w:hAnsi="Times New Roman" w:cs="Times New Roman"/>
          <w:sz w:val="24"/>
          <w:szCs w:val="24"/>
        </w:rPr>
        <w:t>’</w:t>
      </w:r>
      <w:r w:rsidR="00042422">
        <w:rPr>
          <w:rFonts w:ascii="Times New Roman" w:eastAsia="Calibri" w:hAnsi="Times New Roman" w:cs="Times New Roman"/>
          <w:sz w:val="24"/>
          <w:szCs w:val="24"/>
        </w:rPr>
        <w:t>s</w:t>
      </w:r>
      <w:r w:rsidR="00415781" w:rsidRPr="00415781">
        <w:rPr>
          <w:rFonts w:ascii="Times New Roman" w:eastAsia="Calibri" w:hAnsi="Times New Roman" w:cs="Times New Roman"/>
          <w:sz w:val="24"/>
          <w:szCs w:val="24"/>
        </w:rPr>
        <w:t xml:space="preserve"> system as well as the other water and wastewater systems included in CSWR-Texas’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6A943F39"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415781">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45702070" w14:textId="77777777" w:rsidR="00415781" w:rsidRDefault="00415781" w:rsidP="00630EEB">
      <w:pPr>
        <w:tabs>
          <w:tab w:val="left" w:pos="0"/>
        </w:tabs>
        <w:jc w:val="both"/>
        <w:rPr>
          <w:rFonts w:ascii="Times New Roman" w:hAnsi="Times New Roman" w:cs="Times New Roman"/>
          <w:b/>
          <w:bCs/>
          <w:color w:val="FF0000"/>
          <w:sz w:val="24"/>
          <w:szCs w:val="24"/>
        </w:rPr>
      </w:pPr>
    </w:p>
    <w:p w14:paraId="66D792E8" w14:textId="77777777" w:rsidR="00B21594" w:rsidRDefault="00B21594" w:rsidP="00B21594">
      <w:pPr>
        <w:tabs>
          <w:tab w:val="left" w:pos="0"/>
        </w:tabs>
        <w:jc w:val="both"/>
        <w:rPr>
          <w:rFonts w:ascii="Times New Roman" w:hAnsi="Times New Roman" w:cs="Times New Roman"/>
          <w:b/>
          <w:bCs/>
          <w:i/>
          <w:iCs/>
          <w:sz w:val="24"/>
          <w:szCs w:val="24"/>
        </w:rPr>
      </w:pPr>
      <w:r w:rsidRPr="00683637">
        <w:rPr>
          <w:rFonts w:ascii="Times New Roman" w:hAnsi="Times New Roman" w:cs="Times New Roman"/>
          <w:b/>
          <w:bCs/>
          <w:i/>
          <w:iCs/>
          <w:sz w:val="24"/>
          <w:szCs w:val="24"/>
        </w:rPr>
        <w:t>Fair market value and ratemaking rate base (TWC 13.305(</w:t>
      </w:r>
      <w:proofErr w:type="spellStart"/>
      <w:r w:rsidRPr="00683637">
        <w:rPr>
          <w:rFonts w:ascii="Times New Roman" w:hAnsi="Times New Roman" w:cs="Times New Roman"/>
          <w:b/>
          <w:bCs/>
          <w:i/>
          <w:iCs/>
          <w:sz w:val="24"/>
          <w:szCs w:val="24"/>
        </w:rPr>
        <w:t>i</w:t>
      </w:r>
      <w:proofErr w:type="spellEnd"/>
      <w:r w:rsidRPr="00683637">
        <w:rPr>
          <w:rFonts w:ascii="Times New Roman" w:hAnsi="Times New Roman" w:cs="Times New Roman"/>
          <w:b/>
          <w:bCs/>
          <w:i/>
          <w:iCs/>
          <w:sz w:val="24"/>
          <w:szCs w:val="24"/>
        </w:rPr>
        <w:t>))</w:t>
      </w:r>
    </w:p>
    <w:p w14:paraId="772BB8C0" w14:textId="523F1D58" w:rsidR="00B21594" w:rsidRPr="00500F91" w:rsidRDefault="00B21594" w:rsidP="00B21594">
      <w:pPr>
        <w:pStyle w:val="BodyText"/>
        <w:spacing w:after="0"/>
        <w:jc w:val="both"/>
        <w:rPr>
          <w:rFonts w:ascii="Segoe UI Symbol" w:hAnsi="Segoe UI Symbol" w:cs="Times New Roman"/>
          <w:iCs/>
        </w:rPr>
      </w:pPr>
      <w:r w:rsidRPr="00500F91">
        <w:rPr>
          <w:rFonts w:ascii="Times New Roman" w:hAnsi="Times New Roman" w:cs="Times New Roman"/>
          <w:iCs/>
        </w:rPr>
        <w:t xml:space="preserve">Because CSWR-Texas has filed notice with the Commission of its intent to use a fair market value (FMV) process to determine the ratemaking rate base of </w:t>
      </w:r>
      <w:proofErr w:type="spellStart"/>
      <w:r>
        <w:rPr>
          <w:rFonts w:ascii="Times New Roman" w:hAnsi="Times New Roman" w:cs="Times New Roman"/>
          <w:iCs/>
        </w:rPr>
        <w:t>Copano</w:t>
      </w:r>
      <w:proofErr w:type="spellEnd"/>
      <w:r>
        <w:rPr>
          <w:rFonts w:ascii="Times New Roman" w:hAnsi="Times New Roman" w:cs="Times New Roman"/>
          <w:iCs/>
        </w:rPr>
        <w:t xml:space="preserve"> Cove</w:t>
      </w:r>
      <w:r w:rsidRPr="00500F91">
        <w:rPr>
          <w:rFonts w:ascii="Times New Roman" w:hAnsi="Times New Roman" w:cs="Times New Roman"/>
          <w:iCs/>
        </w:rPr>
        <w:t>, the following provisions of TWC § 13.305 apply to this proceeding:</w:t>
      </w:r>
    </w:p>
    <w:p w14:paraId="635BA239" w14:textId="77777777" w:rsidR="00B21594" w:rsidRPr="004945DB" w:rsidRDefault="00B21594" w:rsidP="00B21594">
      <w:pPr>
        <w:pStyle w:val="BodyText"/>
        <w:spacing w:after="0"/>
        <w:ind w:left="720" w:right="720"/>
        <w:jc w:val="both"/>
        <w:rPr>
          <w:rFonts w:ascii="Times New Roman" w:hAnsi="Times New Roman" w:cs="Times New Roman"/>
        </w:rPr>
      </w:pPr>
    </w:p>
    <w:p w14:paraId="4D6B43F1" w14:textId="77777777" w:rsidR="00B21594"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 xml:space="preserve">(f) For the purposes of the acquisition, the fair market value is the average of the three utility valuation expert appraisals conducted under Subsection (c). </w:t>
      </w:r>
    </w:p>
    <w:p w14:paraId="271A4939" w14:textId="77777777" w:rsidR="00B21594" w:rsidRPr="00267F22" w:rsidRDefault="00B21594" w:rsidP="00B21594">
      <w:pPr>
        <w:pStyle w:val="BodyText"/>
        <w:spacing w:after="0"/>
        <w:ind w:left="720" w:right="720"/>
        <w:jc w:val="both"/>
        <w:rPr>
          <w:rFonts w:ascii="Times New Roman" w:hAnsi="Times New Roman" w:cs="Times New Roman"/>
        </w:rPr>
      </w:pPr>
    </w:p>
    <w:p w14:paraId="3677CCED" w14:textId="77777777" w:rsidR="00B21594" w:rsidRPr="00267F22"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2CFD62EF" w14:textId="77777777" w:rsidR="00B21594" w:rsidRPr="00267F22" w:rsidRDefault="00B21594" w:rsidP="00B21594">
      <w:pPr>
        <w:pStyle w:val="BodyText"/>
        <w:spacing w:after="0"/>
        <w:ind w:left="720" w:right="720"/>
        <w:jc w:val="both"/>
        <w:rPr>
          <w:rFonts w:ascii="Times New Roman" w:hAnsi="Times New Roman" w:cs="Times New Roman"/>
        </w:rPr>
      </w:pPr>
    </w:p>
    <w:p w14:paraId="0FC94591" w14:textId="77777777" w:rsidR="00B21594" w:rsidRPr="00267F22"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w:t>
      </w:r>
      <w:proofErr w:type="spellStart"/>
      <w:r w:rsidRPr="00267F22">
        <w:rPr>
          <w:rFonts w:ascii="Times New Roman" w:hAnsi="Times New Roman" w:cs="Times New Roman"/>
        </w:rPr>
        <w:t>i</w:t>
      </w:r>
      <w:proofErr w:type="spellEnd"/>
      <w:r w:rsidRPr="00267F22">
        <w:rPr>
          <w:rFonts w:ascii="Times New Roman" w:hAnsi="Times New Roman" w:cs="Times New Roman"/>
        </w:rPr>
        <w:t>) If the utility commission approves the application for acquisition under Section 13.301, the utility commission shall issue an order that includes:</w:t>
      </w:r>
    </w:p>
    <w:p w14:paraId="377E7DE1" w14:textId="77777777" w:rsidR="00B21594" w:rsidRPr="00267F22" w:rsidRDefault="00B21594" w:rsidP="00B21594">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(1) the ratemaking rate base of the selling utility as determined under </w:t>
      </w:r>
      <w:r>
        <w:rPr>
          <w:rFonts w:ascii="Times New Roman" w:hAnsi="Times New Roman" w:cs="Times New Roman"/>
        </w:rPr>
        <w:tab/>
      </w:r>
      <w:r w:rsidRPr="00267F22">
        <w:rPr>
          <w:rFonts w:ascii="Times New Roman" w:hAnsi="Times New Roman" w:cs="Times New Roman"/>
        </w:rPr>
        <w:t>Subsection (g); and</w:t>
      </w:r>
    </w:p>
    <w:p w14:paraId="0AAFEF0B" w14:textId="77777777" w:rsidR="00B21594" w:rsidRPr="00267F22" w:rsidRDefault="00B21594" w:rsidP="00B21594">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(2) any additional conditions for the acquisition the utility commission </w:t>
      </w:r>
      <w:r>
        <w:rPr>
          <w:rFonts w:ascii="Times New Roman" w:hAnsi="Times New Roman" w:cs="Times New Roman"/>
        </w:rPr>
        <w:tab/>
      </w:r>
      <w:r w:rsidRPr="00267F22">
        <w:rPr>
          <w:rFonts w:ascii="Times New Roman" w:hAnsi="Times New Roman" w:cs="Times New Roman"/>
        </w:rPr>
        <w:t>requires.</w:t>
      </w:r>
    </w:p>
    <w:p w14:paraId="1A72255B" w14:textId="77777777" w:rsidR="00B21594" w:rsidRDefault="00B21594" w:rsidP="00B21594">
      <w:pPr>
        <w:tabs>
          <w:tab w:val="left" w:pos="0"/>
        </w:tabs>
        <w:jc w:val="both"/>
        <w:rPr>
          <w:rFonts w:ascii="Times New Roman" w:hAnsi="Times New Roman" w:cs="Times New Roman"/>
          <w:sz w:val="24"/>
          <w:szCs w:val="24"/>
        </w:rPr>
      </w:pPr>
    </w:p>
    <w:p w14:paraId="280FDBEB" w14:textId="77777777" w:rsidR="00B21594" w:rsidRDefault="00B21594" w:rsidP="00B21594">
      <w:pPr>
        <w:tabs>
          <w:tab w:val="left" w:pos="0"/>
        </w:tabs>
        <w:jc w:val="both"/>
        <w:rPr>
          <w:rFonts w:ascii="Times New Roman" w:hAnsi="Times New Roman" w:cs="Times New Roman"/>
          <w:sz w:val="24"/>
          <w:szCs w:val="24"/>
        </w:rPr>
      </w:pPr>
      <w:r>
        <w:rPr>
          <w:rFonts w:ascii="Times New Roman" w:hAnsi="Times New Roman" w:cs="Times New Roman"/>
          <w:sz w:val="24"/>
          <w:szCs w:val="24"/>
        </w:rPr>
        <w:t>Consistent with the above statutory provisions, the table in confidential Attachment FB-1 shows the FMV appraisal amount reported by each of the utility valuation experts and the resulting average amount.</w:t>
      </w:r>
    </w:p>
    <w:p w14:paraId="03748145" w14:textId="77777777" w:rsidR="00B21594" w:rsidRDefault="00B21594" w:rsidP="00B21594">
      <w:pPr>
        <w:tabs>
          <w:tab w:val="left" w:pos="0"/>
        </w:tabs>
        <w:jc w:val="both"/>
        <w:rPr>
          <w:rFonts w:ascii="Times New Roman" w:hAnsi="Times New Roman" w:cs="Times New Roman"/>
          <w:sz w:val="24"/>
          <w:szCs w:val="24"/>
        </w:rPr>
      </w:pPr>
    </w:p>
    <w:p w14:paraId="278FDEB4" w14:textId="4A800837" w:rsidR="00B21594" w:rsidRPr="00625ED1" w:rsidRDefault="00B21594" w:rsidP="00B21594">
      <w:pPr>
        <w:tabs>
          <w:tab w:val="left" w:pos="0"/>
        </w:tabs>
        <w:jc w:val="both"/>
        <w:rPr>
          <w:rFonts w:ascii="Times New Roman" w:hAnsi="Times New Roman" w:cs="Times New Roman"/>
          <w:sz w:val="24"/>
          <w:szCs w:val="24"/>
        </w:rPr>
      </w:pPr>
      <w:r w:rsidRPr="00625ED1">
        <w:rPr>
          <w:rFonts w:ascii="Times New Roman" w:hAnsi="Times New Roman" w:cs="Times New Roman"/>
          <w:sz w:val="24"/>
          <w:szCs w:val="24"/>
        </w:rPr>
        <w:t xml:space="preserve">Because the average of the three appraisals yields a FMV which is more than the sales price, the ratemaking rate base for </w:t>
      </w:r>
      <w:proofErr w:type="spellStart"/>
      <w:r>
        <w:rPr>
          <w:rFonts w:ascii="Times New Roman" w:hAnsi="Times New Roman" w:cs="Times New Roman"/>
          <w:iCs/>
          <w:sz w:val="24"/>
          <w:szCs w:val="24"/>
        </w:rPr>
        <w:t>Copano</w:t>
      </w:r>
      <w:proofErr w:type="spellEnd"/>
      <w:r>
        <w:rPr>
          <w:rFonts w:ascii="Times New Roman" w:hAnsi="Times New Roman" w:cs="Times New Roman"/>
          <w:iCs/>
          <w:sz w:val="24"/>
          <w:szCs w:val="24"/>
        </w:rPr>
        <w:t xml:space="preserve"> Cove</w:t>
      </w:r>
      <w:r w:rsidRPr="00625ED1">
        <w:rPr>
          <w:rFonts w:ascii="Times New Roman" w:hAnsi="Times New Roman" w:cs="Times New Roman"/>
          <w:iCs/>
        </w:rPr>
        <w:t xml:space="preserve"> </w:t>
      </w:r>
      <w:r w:rsidRPr="00625ED1">
        <w:rPr>
          <w:rFonts w:ascii="Times New Roman" w:hAnsi="Times New Roman" w:cs="Times New Roman"/>
          <w:sz w:val="24"/>
          <w:szCs w:val="24"/>
        </w:rPr>
        <w:t>is</w:t>
      </w:r>
      <w:r>
        <w:rPr>
          <w:rFonts w:ascii="Times New Roman" w:hAnsi="Times New Roman" w:cs="Times New Roman"/>
          <w:sz w:val="24"/>
          <w:szCs w:val="24"/>
        </w:rPr>
        <w:t xml:space="preserve"> the sales price amount</w:t>
      </w:r>
      <w:r w:rsidR="004B38BC">
        <w:rPr>
          <w:rFonts w:ascii="Times New Roman" w:hAnsi="Times New Roman" w:cs="Times New Roman"/>
          <w:sz w:val="24"/>
          <w:szCs w:val="24"/>
        </w:rPr>
        <w:t>,</w:t>
      </w:r>
      <w:r>
        <w:rPr>
          <w:rFonts w:ascii="Times New Roman" w:hAnsi="Times New Roman" w:cs="Times New Roman"/>
          <w:sz w:val="24"/>
          <w:szCs w:val="24"/>
        </w:rPr>
        <w:t xml:space="preserve"> provided in confidential Attachment FB-1</w:t>
      </w:r>
      <w:r w:rsidR="004B38BC">
        <w:rPr>
          <w:rFonts w:ascii="Times New Roman" w:hAnsi="Times New Roman" w:cs="Times New Roman"/>
          <w:sz w:val="24"/>
          <w:szCs w:val="24"/>
        </w:rPr>
        <w:t>,</w:t>
      </w:r>
      <w:r w:rsidRPr="00625ED1">
        <w:rPr>
          <w:rFonts w:ascii="Times New Roman" w:hAnsi="Times New Roman" w:cs="Times New Roman"/>
          <w:sz w:val="24"/>
          <w:szCs w:val="24"/>
        </w:rPr>
        <w:t xml:space="preserve"> as prescribed by the provisions of TWC § 13.305(g).   </w:t>
      </w:r>
    </w:p>
    <w:p w14:paraId="555F606D" w14:textId="77777777" w:rsidR="00B21594" w:rsidRPr="009A0254" w:rsidRDefault="00B21594" w:rsidP="00B21594">
      <w:pPr>
        <w:tabs>
          <w:tab w:val="left" w:pos="0"/>
        </w:tabs>
        <w:jc w:val="both"/>
        <w:rPr>
          <w:rFonts w:ascii="Times New Roman" w:hAnsi="Times New Roman" w:cs="Times New Roman"/>
          <w:color w:val="FF0000"/>
          <w:sz w:val="24"/>
          <w:szCs w:val="24"/>
        </w:rPr>
      </w:pP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7"/>
      <w:headerReference w:type="default" r:id="rId8"/>
      <w:headerReference w:type="first" r:id="rId9"/>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BC41" w14:textId="77777777" w:rsidR="00692461" w:rsidRDefault="00692461" w:rsidP="00FC14B8">
      <w:r>
        <w:separator/>
      </w:r>
    </w:p>
  </w:endnote>
  <w:endnote w:type="continuationSeparator" w:id="0">
    <w:p w14:paraId="4DA61491" w14:textId="77777777" w:rsidR="00692461" w:rsidRDefault="00692461"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B64A" w14:textId="77777777" w:rsidR="00692461" w:rsidRDefault="00692461" w:rsidP="00FC14B8">
      <w:r>
        <w:separator/>
      </w:r>
    </w:p>
  </w:footnote>
  <w:footnote w:type="continuationSeparator" w:id="0">
    <w:p w14:paraId="303E82E0" w14:textId="77777777" w:rsidR="00692461" w:rsidRDefault="00692461"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4F8B791B"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415781">
      <w:rPr>
        <w:rFonts w:ascii="Times New Roman" w:hAnsi="Times New Roman" w:cs="Times New Roman"/>
        <w:sz w:val="20"/>
        <w:szCs w:val="20"/>
      </w:rPr>
      <w:t xml:space="preserve">Docket No. </w:t>
    </w:r>
    <w:r w:rsidR="00415781" w:rsidRPr="00415781">
      <w:rPr>
        <w:rFonts w:ascii="Times New Roman" w:hAnsi="Times New Roman" w:cs="Times New Roman"/>
        <w:sz w:val="20"/>
        <w:szCs w:val="20"/>
      </w:rPr>
      <w:t>52</w:t>
    </w:r>
    <w:r w:rsidR="006213F7">
      <w:rPr>
        <w:rFonts w:ascii="Times New Roman" w:hAnsi="Times New Roman" w:cs="Times New Roman"/>
        <w:sz w:val="20"/>
        <w:szCs w:val="20"/>
      </w:rPr>
      <w:t>803</w:t>
    </w:r>
    <w:r w:rsidRPr="00415781">
      <w:rPr>
        <w:rFonts w:ascii="Times New Roman" w:hAnsi="Times New Roman" w:cs="Times New Roman"/>
        <w:sz w:val="20"/>
        <w:szCs w:val="20"/>
      </w:rPr>
      <w:tab/>
      <w:t xml:space="preserve">Memorandum of </w:t>
    </w:r>
    <w:r w:rsidR="00415781" w:rsidRPr="00415781">
      <w:rPr>
        <w:rFonts w:ascii="Times New Roman" w:hAnsi="Times New Roman" w:cs="Times New Roman"/>
        <w:sz w:val="20"/>
        <w:szCs w:val="20"/>
      </w:rPr>
      <w:t>Fred Bednarski</w:t>
    </w:r>
    <w:r w:rsidRPr="00415781">
      <w:rPr>
        <w:rFonts w:ascii="Times New Roman" w:hAnsi="Times New Roman" w:cs="Times New Roman"/>
        <w:sz w:val="20"/>
        <w:szCs w:val="20"/>
      </w:rPr>
      <w:t xml:space="preserve"> (</w:t>
    </w:r>
    <w:r w:rsidR="00E9493C">
      <w:rPr>
        <w:rFonts w:ascii="Times New Roman" w:hAnsi="Times New Roman" w:cs="Times New Roman"/>
        <w:sz w:val="20"/>
        <w:szCs w:val="20"/>
      </w:rPr>
      <w:t>Febr</w:t>
    </w:r>
    <w:r w:rsidR="00726667">
      <w:rPr>
        <w:rFonts w:ascii="Times New Roman" w:hAnsi="Times New Roman" w:cs="Times New Roman"/>
        <w:sz w:val="20"/>
        <w:szCs w:val="20"/>
      </w:rPr>
      <w:t>uary</w:t>
    </w:r>
    <w:r w:rsidRPr="00415781">
      <w:rPr>
        <w:rFonts w:ascii="Times New Roman" w:hAnsi="Times New Roman" w:cs="Times New Roman"/>
        <w:sz w:val="20"/>
        <w:szCs w:val="20"/>
      </w:rPr>
      <w:t xml:space="preserve"> </w:t>
    </w:r>
    <w:r w:rsidR="006213F7">
      <w:rPr>
        <w:rFonts w:ascii="Times New Roman" w:hAnsi="Times New Roman" w:cs="Times New Roman"/>
        <w:sz w:val="20"/>
        <w:szCs w:val="20"/>
      </w:rPr>
      <w:t>1</w:t>
    </w:r>
    <w:r w:rsidR="00E9493C">
      <w:rPr>
        <w:rFonts w:ascii="Times New Roman" w:hAnsi="Times New Roman" w:cs="Times New Roman"/>
        <w:sz w:val="20"/>
        <w:szCs w:val="20"/>
      </w:rPr>
      <w:t>4</w:t>
    </w:r>
    <w:r w:rsidRPr="00415781">
      <w:rPr>
        <w:rFonts w:ascii="Times New Roman" w:hAnsi="Times New Roman" w:cs="Times New Roman"/>
        <w:sz w:val="20"/>
        <w:szCs w:val="20"/>
      </w:rPr>
      <w:t xml:space="preserve">, </w:t>
    </w:r>
    <w:r w:rsidR="00415781">
      <w:rPr>
        <w:rFonts w:ascii="Times New Roman" w:hAnsi="Times New Roman" w:cs="Times New Roman"/>
        <w:sz w:val="20"/>
        <w:szCs w:val="20"/>
      </w:rPr>
      <w:t>202</w:t>
    </w:r>
    <w:r w:rsidR="00726667">
      <w:rPr>
        <w:rFonts w:ascii="Times New Roman" w:hAnsi="Times New Roman" w:cs="Times New Roman"/>
        <w:sz w:val="20"/>
        <w:szCs w:val="20"/>
      </w:rPr>
      <w:t>2</w:t>
    </w:r>
    <w:r w:rsidRPr="00415781">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726667">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58ECBDCA" w:rsidR="00912B79" w:rsidRPr="00625ED1"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625ED1">
      <w:rPr>
        <w:rFonts w:ascii="Times New Roman" w:hAnsi="Times New Roman" w:cs="Times New Roman"/>
        <w:sz w:val="20"/>
        <w:szCs w:val="20"/>
      </w:rPr>
      <w:t xml:space="preserve">Docket No. </w:t>
    </w:r>
    <w:r w:rsidR="00625ED1" w:rsidRPr="00625ED1">
      <w:rPr>
        <w:rFonts w:ascii="Times New Roman" w:hAnsi="Times New Roman" w:cs="Times New Roman"/>
        <w:sz w:val="20"/>
        <w:szCs w:val="20"/>
      </w:rPr>
      <w:t>52</w:t>
    </w:r>
    <w:r w:rsidR="00B21594">
      <w:rPr>
        <w:rFonts w:ascii="Times New Roman" w:hAnsi="Times New Roman" w:cs="Times New Roman"/>
        <w:sz w:val="20"/>
        <w:szCs w:val="20"/>
      </w:rPr>
      <w:t>803</w:t>
    </w:r>
    <w:r w:rsidRPr="00625ED1">
      <w:rPr>
        <w:rFonts w:ascii="Times New Roman" w:hAnsi="Times New Roman" w:cs="Times New Roman"/>
        <w:sz w:val="20"/>
        <w:szCs w:val="20"/>
      </w:rPr>
      <w:tab/>
      <w:t xml:space="preserve">Memorandum of </w:t>
    </w:r>
    <w:r w:rsidR="00625ED1" w:rsidRPr="00625ED1">
      <w:rPr>
        <w:rFonts w:ascii="Times New Roman" w:hAnsi="Times New Roman" w:cs="Times New Roman"/>
        <w:sz w:val="20"/>
        <w:szCs w:val="20"/>
      </w:rPr>
      <w:t xml:space="preserve">Fred Bednarski </w:t>
    </w:r>
    <w:r w:rsidRPr="00625ED1">
      <w:rPr>
        <w:rFonts w:ascii="Times New Roman" w:hAnsi="Times New Roman" w:cs="Times New Roman"/>
        <w:sz w:val="20"/>
        <w:szCs w:val="20"/>
      </w:rPr>
      <w:t>(</w:t>
    </w:r>
    <w:r w:rsidR="00B21594">
      <w:rPr>
        <w:rFonts w:ascii="Times New Roman" w:hAnsi="Times New Roman" w:cs="Times New Roman"/>
        <w:sz w:val="20"/>
        <w:szCs w:val="20"/>
      </w:rPr>
      <w:t>February</w:t>
    </w:r>
    <w:r w:rsidRPr="00625ED1">
      <w:rPr>
        <w:rFonts w:ascii="Times New Roman" w:hAnsi="Times New Roman" w:cs="Times New Roman"/>
        <w:sz w:val="20"/>
        <w:szCs w:val="20"/>
      </w:rPr>
      <w:t xml:space="preserve"> </w:t>
    </w:r>
    <w:r w:rsidR="00B21594">
      <w:rPr>
        <w:rFonts w:ascii="Times New Roman" w:hAnsi="Times New Roman" w:cs="Times New Roman"/>
        <w:sz w:val="20"/>
        <w:szCs w:val="20"/>
      </w:rPr>
      <w:t>14</w:t>
    </w:r>
    <w:r w:rsidRPr="00625ED1">
      <w:rPr>
        <w:rFonts w:ascii="Times New Roman" w:hAnsi="Times New Roman" w:cs="Times New Roman"/>
        <w:sz w:val="20"/>
        <w:szCs w:val="20"/>
      </w:rPr>
      <w:t xml:space="preserve">, </w:t>
    </w:r>
    <w:r w:rsidR="00625ED1">
      <w:rPr>
        <w:rFonts w:ascii="Times New Roman" w:hAnsi="Times New Roman" w:cs="Times New Roman"/>
        <w:sz w:val="20"/>
        <w:szCs w:val="20"/>
      </w:rPr>
      <w:t>202</w:t>
    </w:r>
    <w:r w:rsidR="00B21594">
      <w:rPr>
        <w:rFonts w:ascii="Times New Roman" w:hAnsi="Times New Roman" w:cs="Times New Roman"/>
        <w:sz w:val="20"/>
        <w:szCs w:val="20"/>
      </w:rPr>
      <w:t>2</w:t>
    </w:r>
    <w:r w:rsidRPr="00625ED1">
      <w:rPr>
        <w:rFonts w:ascii="Times New Roman" w:hAnsi="Times New Roman" w:cs="Times New Roman"/>
        <w:sz w:val="20"/>
        <w:szCs w:val="20"/>
      </w:rPr>
      <w:t>)</w:t>
    </w:r>
    <w:r w:rsidR="00912B79" w:rsidRPr="00625ED1">
      <w:rPr>
        <w:rFonts w:ascii="Times New Roman" w:hAnsi="Times New Roman" w:cs="Times New Roman"/>
        <w:sz w:val="20"/>
        <w:szCs w:val="20"/>
      </w:rPr>
      <w:tab/>
      <w:t xml:space="preserve">Page </w:t>
    </w:r>
    <w:r w:rsidR="00AB1CF5" w:rsidRPr="00625ED1">
      <w:rPr>
        <w:rFonts w:ascii="Times New Roman" w:hAnsi="Times New Roman" w:cs="Times New Roman"/>
        <w:sz w:val="20"/>
        <w:szCs w:val="20"/>
      </w:rPr>
      <w:t>3</w:t>
    </w:r>
    <w:r w:rsidR="00912B79" w:rsidRPr="00625ED1">
      <w:rPr>
        <w:rFonts w:ascii="Times New Roman" w:hAnsi="Times New Roman" w:cs="Times New Roman"/>
        <w:sz w:val="20"/>
        <w:szCs w:val="20"/>
      </w:rPr>
      <w:t xml:space="preserve"> of </w:t>
    </w:r>
    <w:r w:rsidR="00AB1CF5" w:rsidRPr="00625ED1">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42422"/>
    <w:rsid w:val="00051B7F"/>
    <w:rsid w:val="00052A6C"/>
    <w:rsid w:val="000537E5"/>
    <w:rsid w:val="000570CA"/>
    <w:rsid w:val="000633EE"/>
    <w:rsid w:val="00066D7A"/>
    <w:rsid w:val="00073089"/>
    <w:rsid w:val="000735D6"/>
    <w:rsid w:val="00075B4A"/>
    <w:rsid w:val="00080C4C"/>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07998"/>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358E"/>
    <w:rsid w:val="00277306"/>
    <w:rsid w:val="00280E5D"/>
    <w:rsid w:val="00285FE2"/>
    <w:rsid w:val="00290054"/>
    <w:rsid w:val="00291F3A"/>
    <w:rsid w:val="00292E67"/>
    <w:rsid w:val="00297D38"/>
    <w:rsid w:val="002A16CF"/>
    <w:rsid w:val="002A2334"/>
    <w:rsid w:val="002B2B05"/>
    <w:rsid w:val="002B39AF"/>
    <w:rsid w:val="002C2207"/>
    <w:rsid w:val="002D2A96"/>
    <w:rsid w:val="002D4E2D"/>
    <w:rsid w:val="002E618E"/>
    <w:rsid w:val="002E6AB7"/>
    <w:rsid w:val="00300393"/>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3705"/>
    <w:rsid w:val="004155E3"/>
    <w:rsid w:val="00415781"/>
    <w:rsid w:val="00422351"/>
    <w:rsid w:val="00432727"/>
    <w:rsid w:val="00442EAF"/>
    <w:rsid w:val="00445D67"/>
    <w:rsid w:val="00447852"/>
    <w:rsid w:val="00460B34"/>
    <w:rsid w:val="0046133A"/>
    <w:rsid w:val="004652A2"/>
    <w:rsid w:val="004657A1"/>
    <w:rsid w:val="004746C3"/>
    <w:rsid w:val="004778D9"/>
    <w:rsid w:val="0048597F"/>
    <w:rsid w:val="00492D8D"/>
    <w:rsid w:val="00495BD1"/>
    <w:rsid w:val="004A3895"/>
    <w:rsid w:val="004A515B"/>
    <w:rsid w:val="004B02D2"/>
    <w:rsid w:val="004B38BC"/>
    <w:rsid w:val="004B71D3"/>
    <w:rsid w:val="004B7714"/>
    <w:rsid w:val="004B7A15"/>
    <w:rsid w:val="004C1A56"/>
    <w:rsid w:val="004C1E89"/>
    <w:rsid w:val="004C335B"/>
    <w:rsid w:val="004C6E72"/>
    <w:rsid w:val="004D152B"/>
    <w:rsid w:val="004D2CA6"/>
    <w:rsid w:val="004E7923"/>
    <w:rsid w:val="004F2423"/>
    <w:rsid w:val="004F5246"/>
    <w:rsid w:val="00500F91"/>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4D2C"/>
    <w:rsid w:val="005462D6"/>
    <w:rsid w:val="005464F5"/>
    <w:rsid w:val="005472A9"/>
    <w:rsid w:val="0055212A"/>
    <w:rsid w:val="005548D8"/>
    <w:rsid w:val="00556A8F"/>
    <w:rsid w:val="00564B25"/>
    <w:rsid w:val="00572A0A"/>
    <w:rsid w:val="005764AC"/>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E7450"/>
    <w:rsid w:val="005F1F33"/>
    <w:rsid w:val="005F337F"/>
    <w:rsid w:val="005F575F"/>
    <w:rsid w:val="005F7ECC"/>
    <w:rsid w:val="00600CE9"/>
    <w:rsid w:val="006126FB"/>
    <w:rsid w:val="006148D9"/>
    <w:rsid w:val="006213F7"/>
    <w:rsid w:val="00623D56"/>
    <w:rsid w:val="00624074"/>
    <w:rsid w:val="00625ED1"/>
    <w:rsid w:val="00630EEB"/>
    <w:rsid w:val="00635B2E"/>
    <w:rsid w:val="0063710C"/>
    <w:rsid w:val="006415BF"/>
    <w:rsid w:val="00644766"/>
    <w:rsid w:val="00651FE8"/>
    <w:rsid w:val="0065525B"/>
    <w:rsid w:val="00660E5C"/>
    <w:rsid w:val="00665A38"/>
    <w:rsid w:val="006730D8"/>
    <w:rsid w:val="006773E4"/>
    <w:rsid w:val="00680FB0"/>
    <w:rsid w:val="00683637"/>
    <w:rsid w:val="00692461"/>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6667"/>
    <w:rsid w:val="00727F1C"/>
    <w:rsid w:val="00732647"/>
    <w:rsid w:val="00733ADF"/>
    <w:rsid w:val="00740EF3"/>
    <w:rsid w:val="00746472"/>
    <w:rsid w:val="00752975"/>
    <w:rsid w:val="007554A6"/>
    <w:rsid w:val="0075745D"/>
    <w:rsid w:val="007657FC"/>
    <w:rsid w:val="0077034A"/>
    <w:rsid w:val="00777E2F"/>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42BD7"/>
    <w:rsid w:val="00865007"/>
    <w:rsid w:val="008660F9"/>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47358"/>
    <w:rsid w:val="00953BE1"/>
    <w:rsid w:val="00955B7F"/>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2039"/>
    <w:rsid w:val="00A371E4"/>
    <w:rsid w:val="00A417B7"/>
    <w:rsid w:val="00A50B09"/>
    <w:rsid w:val="00A54750"/>
    <w:rsid w:val="00A5636C"/>
    <w:rsid w:val="00A72CB7"/>
    <w:rsid w:val="00A74A3B"/>
    <w:rsid w:val="00A75BA9"/>
    <w:rsid w:val="00A762F4"/>
    <w:rsid w:val="00A87498"/>
    <w:rsid w:val="00A906BD"/>
    <w:rsid w:val="00A9398D"/>
    <w:rsid w:val="00A94B55"/>
    <w:rsid w:val="00A955F9"/>
    <w:rsid w:val="00AA0783"/>
    <w:rsid w:val="00AB074C"/>
    <w:rsid w:val="00AB1CF5"/>
    <w:rsid w:val="00AB4664"/>
    <w:rsid w:val="00AB5345"/>
    <w:rsid w:val="00AC5275"/>
    <w:rsid w:val="00AC64B1"/>
    <w:rsid w:val="00AE1FF0"/>
    <w:rsid w:val="00AE2D6B"/>
    <w:rsid w:val="00AE2F96"/>
    <w:rsid w:val="00AE46B8"/>
    <w:rsid w:val="00AE640A"/>
    <w:rsid w:val="00AF3DA4"/>
    <w:rsid w:val="00B010E0"/>
    <w:rsid w:val="00B137BB"/>
    <w:rsid w:val="00B1386D"/>
    <w:rsid w:val="00B20671"/>
    <w:rsid w:val="00B21594"/>
    <w:rsid w:val="00B2176F"/>
    <w:rsid w:val="00B27142"/>
    <w:rsid w:val="00B3681B"/>
    <w:rsid w:val="00B36BD2"/>
    <w:rsid w:val="00B40777"/>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C2EEE"/>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2DCA"/>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62F9"/>
    <w:rsid w:val="00E87172"/>
    <w:rsid w:val="00E910F6"/>
    <w:rsid w:val="00E93B08"/>
    <w:rsid w:val="00E9493C"/>
    <w:rsid w:val="00E977CD"/>
    <w:rsid w:val="00E97F80"/>
    <w:rsid w:val="00EA1AE8"/>
    <w:rsid w:val="00EC0493"/>
    <w:rsid w:val="00EC7000"/>
    <w:rsid w:val="00EF11FD"/>
    <w:rsid w:val="00EF2409"/>
    <w:rsid w:val="00EF6A56"/>
    <w:rsid w:val="00EF6B32"/>
    <w:rsid w:val="00F230F8"/>
    <w:rsid w:val="00F2401D"/>
    <w:rsid w:val="00F32D00"/>
    <w:rsid w:val="00F369F6"/>
    <w:rsid w:val="00F4295C"/>
    <w:rsid w:val="00F52CB4"/>
    <w:rsid w:val="00F53004"/>
    <w:rsid w:val="00F53AE0"/>
    <w:rsid w:val="00F56055"/>
    <w:rsid w:val="00F56A6D"/>
    <w:rsid w:val="00F56E78"/>
    <w:rsid w:val="00F67182"/>
    <w:rsid w:val="00F71989"/>
    <w:rsid w:val="00F72390"/>
    <w:rsid w:val="00F7297A"/>
    <w:rsid w:val="00F7365A"/>
    <w:rsid w:val="00F73C32"/>
    <w:rsid w:val="00F7425D"/>
    <w:rsid w:val="00F8118A"/>
    <w:rsid w:val="00F84C3B"/>
    <w:rsid w:val="00F90491"/>
    <w:rsid w:val="00F962A0"/>
    <w:rsid w:val="00F963F4"/>
    <w:rsid w:val="00F96F4B"/>
    <w:rsid w:val="00FA1E7F"/>
    <w:rsid w:val="00FA3258"/>
    <w:rsid w:val="00FB19E6"/>
    <w:rsid w:val="00FB1DEC"/>
    <w:rsid w:val="00FB5083"/>
    <w:rsid w:val="00FC02E5"/>
    <w:rsid w:val="00FC14B8"/>
    <w:rsid w:val="00FC678B"/>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2022-02-14T17:33:00Z</dcterms:created>
  <dcterms:modified xsi:type="dcterms:W3CDTF">2022-02-14T17:33:00Z</dcterms:modified>
</cp:coreProperties>
</file>